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7A748" w14:textId="32EBF1CB" w:rsidR="00DE106F" w:rsidRPr="00DE106F" w:rsidRDefault="00DE106F" w:rsidP="00DE106F">
      <w:pPr>
        <w:rPr>
          <w:lang w:val="en-US"/>
        </w:rPr>
      </w:pPr>
      <w:r w:rsidRPr="00DE106F">
        <w:rPr>
          <w:b/>
          <w:bCs/>
          <w:lang w:val="en-US"/>
        </w:rPr>
        <w:t>UNIME in the LIL-ECHOES network, a €3</w:t>
      </w:r>
      <w:r>
        <w:rPr>
          <w:b/>
          <w:bCs/>
          <w:lang w:val="en-US"/>
        </w:rPr>
        <w:t>.5</w:t>
      </w:r>
      <w:r w:rsidRPr="00DE106F">
        <w:rPr>
          <w:b/>
          <w:bCs/>
          <w:lang w:val="en-US"/>
        </w:rPr>
        <w:t xml:space="preserve"> million European project</w:t>
      </w:r>
    </w:p>
    <w:p w14:paraId="64B96027" w14:textId="26450235" w:rsidR="00DE106F" w:rsidRPr="00DE106F" w:rsidRDefault="00DE106F" w:rsidP="00376DCB">
      <w:pPr>
        <w:jc w:val="both"/>
        <w:rPr>
          <w:lang w:val="en-US"/>
        </w:rPr>
      </w:pPr>
      <w:r w:rsidRPr="00DE106F">
        <w:rPr>
          <w:lang w:val="en-US"/>
        </w:rPr>
        <w:t xml:space="preserve">The University of Messina is a partner in </w:t>
      </w:r>
      <w:r w:rsidRPr="00DE106F">
        <w:rPr>
          <w:i/>
          <w:iCs/>
          <w:lang w:val="en-US"/>
        </w:rPr>
        <w:t>Living Cultural Labs: Empowering Communities through Intercultural Encounters in Virtual Worlds</w:t>
      </w:r>
      <w:r w:rsidRPr="00DE106F">
        <w:rPr>
          <w:lang w:val="en-US"/>
        </w:rPr>
        <w:t xml:space="preserve"> (LIL-ECHOES), funded with approximately €3.5 million as a </w:t>
      </w:r>
      <w:r w:rsidRPr="00DE106F">
        <w:rPr>
          <w:i/>
          <w:iCs/>
          <w:lang w:val="en-US"/>
        </w:rPr>
        <w:t>Research and Innovation Action</w:t>
      </w:r>
      <w:r w:rsidRPr="00DE106F">
        <w:rPr>
          <w:lang w:val="en-US"/>
        </w:rPr>
        <w:t xml:space="preserve"> (RIA) under the Horizon Europe 2021–2027 programme, Pillar II, Cluster 2, “</w:t>
      </w:r>
      <w:r w:rsidRPr="00DE106F">
        <w:rPr>
          <w:b/>
          <w:bCs/>
          <w:lang w:val="en-US"/>
        </w:rPr>
        <w:t>Culture, Creativity and Inclusive Society</w:t>
      </w:r>
      <w:r w:rsidRPr="00DE106F">
        <w:rPr>
          <w:lang w:val="en-US"/>
        </w:rPr>
        <w:t xml:space="preserve">”. This is the University of Messina’s first humanities project funded under the Horizon programme’s </w:t>
      </w:r>
      <w:r w:rsidR="00047DE6">
        <w:rPr>
          <w:lang w:val="en-US"/>
        </w:rPr>
        <w:t>destination</w:t>
      </w:r>
      <w:r w:rsidRPr="00DE106F">
        <w:rPr>
          <w:lang w:val="en-US"/>
        </w:rPr>
        <w:t xml:space="preserve"> “Cultural Heritage and Cultural and Creative Industries”.</w:t>
      </w:r>
    </w:p>
    <w:p w14:paraId="36AAA0B2" w14:textId="77777777" w:rsidR="00DE106F" w:rsidRPr="00DE106F" w:rsidRDefault="00DE106F" w:rsidP="00376DCB">
      <w:pPr>
        <w:jc w:val="both"/>
        <w:rPr>
          <w:lang w:val="en-US"/>
        </w:rPr>
      </w:pPr>
      <w:r w:rsidRPr="00DE106F">
        <w:rPr>
          <w:lang w:val="en-US"/>
        </w:rPr>
        <w:t>Coordinated by Newcastle University, the project brings together a consortium of 16 partners from eight European countries, including universities, cultural institutions, civil society organisations and organisations specialising in digital technologies.</w:t>
      </w:r>
    </w:p>
    <w:p w14:paraId="4AE38F0D" w14:textId="77777777" w:rsidR="00DE106F" w:rsidRPr="00DE106F" w:rsidRDefault="00DE106F" w:rsidP="00376DCB">
      <w:pPr>
        <w:jc w:val="both"/>
        <w:rPr>
          <w:lang w:val="en-US"/>
        </w:rPr>
      </w:pPr>
      <w:r w:rsidRPr="00DE106F">
        <w:rPr>
          <w:lang w:val="en-US"/>
        </w:rPr>
        <w:t>The University of Messina participates in this scientific and industrial network through a research unit based in the Department of Ancient and Modern Civilisations (DICAM), coordinated by Professor Maria Grazia Sindoni, Full Professor of English Linguistics and Translation. The unit also includes Professor Fabio Ruggiano, Associate Professor of Italian Linguistics, and Professor Milena Meo, Full Professor of Political Sociology in the Department of Cognitive Sciences, Psychology, Education and Cultural Studies (COSPECS). The team brings together multidisciplinary expertise in linguistics, multimodal text analysis and sociology, and plans to expand through the recruitment of a researcher and further collaborations with local experts.</w:t>
      </w:r>
    </w:p>
    <w:p w14:paraId="16F3BD04" w14:textId="77777777" w:rsidR="00DE106F" w:rsidRPr="00DE106F" w:rsidRDefault="00DE106F" w:rsidP="00376DCB">
      <w:pPr>
        <w:jc w:val="both"/>
        <w:rPr>
          <w:lang w:val="en-US"/>
        </w:rPr>
      </w:pPr>
      <w:r w:rsidRPr="00DE106F">
        <w:rPr>
          <w:lang w:val="en-US"/>
        </w:rPr>
        <w:t>The project aims to investigate how extended reality (XR) and artificial intelligence contribute to the virtualisation of cultural life, transforming human communication, identities, community bonds, wellbeing, social cohesion and processes of cultural heritage renewal.</w:t>
      </w:r>
    </w:p>
    <w:p w14:paraId="1FA70D62" w14:textId="4421D957" w:rsidR="00DE106F" w:rsidRPr="00DE106F" w:rsidRDefault="00DE106F" w:rsidP="00376DCB">
      <w:pPr>
        <w:jc w:val="both"/>
        <w:rPr>
          <w:lang w:val="en-US"/>
        </w:rPr>
      </w:pPr>
      <w:r w:rsidRPr="00DE106F">
        <w:rPr>
          <w:lang w:val="en-US"/>
        </w:rPr>
        <w:t xml:space="preserve">The </w:t>
      </w:r>
      <w:r w:rsidRPr="00DE106F">
        <w:rPr>
          <w:i/>
          <w:iCs/>
          <w:lang w:val="en-US"/>
        </w:rPr>
        <w:t>Living Cultural Labs</w:t>
      </w:r>
      <w:r w:rsidRPr="00DE106F">
        <w:rPr>
          <w:lang w:val="en-US"/>
        </w:rPr>
        <w:t xml:space="preserve">, </w:t>
      </w:r>
      <w:r w:rsidR="0084189A">
        <w:rPr>
          <w:lang w:val="en-US"/>
        </w:rPr>
        <w:t>the project's operational core</w:t>
      </w:r>
      <w:r w:rsidRPr="00DE106F">
        <w:rPr>
          <w:lang w:val="en-US"/>
        </w:rPr>
        <w:t xml:space="preserve">, will be established in Italy, Germany, Greece and the United Kingdom, hosted by museums, libraries and cultural centres. Within the </w:t>
      </w:r>
      <w:r w:rsidRPr="00DE106F">
        <w:rPr>
          <w:i/>
          <w:iCs/>
          <w:lang w:val="en-US"/>
        </w:rPr>
        <w:t>labs</w:t>
      </w:r>
      <w:r w:rsidRPr="00DE106F">
        <w:rPr>
          <w:lang w:val="en-US"/>
        </w:rPr>
        <w:t xml:space="preserve">, migrants, older people and young adults will contribute to designing and testing immersive experiences, sharing stories, practices and knowledge connected to their cultural and plurilingual backgrounds and experiences of mobility. Observing these intercultural encounters over time will make it possible to analyse how </w:t>
      </w:r>
      <w:r w:rsidR="0084189A">
        <w:rPr>
          <w:lang w:val="en-US"/>
        </w:rPr>
        <w:t>technology use intersects with forms of communication, social relationships,</w:t>
      </w:r>
      <w:r w:rsidRPr="00DE106F">
        <w:rPr>
          <w:lang w:val="en-US"/>
        </w:rPr>
        <w:t xml:space="preserve"> and the strategies through which people construct and negotiate their sense of belonging.</w:t>
      </w:r>
    </w:p>
    <w:p w14:paraId="66B934A7" w14:textId="77777777" w:rsidR="00DE106F" w:rsidRPr="00DE106F" w:rsidRDefault="00DE106F" w:rsidP="00376DCB">
      <w:pPr>
        <w:jc w:val="both"/>
        <w:rPr>
          <w:lang w:val="en-US"/>
        </w:rPr>
      </w:pPr>
      <w:r w:rsidRPr="00DE106F">
        <w:rPr>
          <w:lang w:val="en-US"/>
        </w:rPr>
        <w:t xml:space="preserve">Within LIL-ECHOES, the UNIME unit is responsible for Work Package 4, which will define how the labs operate, with particular attention to plurilingual exchanges, participation, inclusion and the ethical aspects of research. </w:t>
      </w:r>
      <w:r w:rsidRPr="00DE106F">
        <w:rPr>
          <w:b/>
          <w:bCs/>
          <w:lang w:val="en-US"/>
        </w:rPr>
        <w:t>Fondazione Horcynus Orca</w:t>
      </w:r>
      <w:r w:rsidRPr="00DE106F">
        <w:rPr>
          <w:lang w:val="en-US"/>
        </w:rPr>
        <w:t>, a cultural partner in the project, will coordinate the local community’s involvement in implementing the activities.</w:t>
      </w:r>
    </w:p>
    <w:p w14:paraId="6A25D284" w14:textId="77777777" w:rsidR="00DE106F" w:rsidRPr="00DE106F" w:rsidRDefault="00DE106F" w:rsidP="00376DCB">
      <w:pPr>
        <w:jc w:val="both"/>
        <w:rPr>
          <w:lang w:val="en-US"/>
        </w:rPr>
      </w:pPr>
      <w:r w:rsidRPr="00DE106F">
        <w:rPr>
          <w:lang w:val="en-US"/>
        </w:rPr>
        <w:t>The project began on 1 September 2026 and will run for four years, until 31 August 2030.</w:t>
      </w:r>
    </w:p>
    <w:p w14:paraId="480A08B7" w14:textId="77777777" w:rsidR="00DE106F" w:rsidRPr="00DE106F" w:rsidRDefault="00DE106F" w:rsidP="00376DCB">
      <w:pPr>
        <w:jc w:val="both"/>
        <w:rPr>
          <w:lang w:val="en-US"/>
        </w:rPr>
      </w:pPr>
      <w:r w:rsidRPr="00DE106F">
        <w:rPr>
          <w:b/>
          <w:bCs/>
          <w:lang w:val="en-US"/>
        </w:rPr>
        <w:t xml:space="preserve">For further information: </w:t>
      </w:r>
      <w:hyperlink r:id="rId4" w:history="1">
        <w:r w:rsidRPr="00DE106F">
          <w:rPr>
            <w:rStyle w:val="Collegamentoipertestuale"/>
            <w:b/>
            <w:bCs/>
            <w:lang w:val="en-US"/>
          </w:rPr>
          <w:t>lil-echoes.eu</w:t>
        </w:r>
      </w:hyperlink>
      <w:r w:rsidRPr="00DE106F">
        <w:rPr>
          <w:b/>
          <w:bCs/>
          <w:lang w:val="en-US"/>
        </w:rPr>
        <w:t>.</w:t>
      </w:r>
    </w:p>
    <w:p w14:paraId="3C91210C" w14:textId="77777777" w:rsidR="006C4C0B" w:rsidRPr="00DE106F" w:rsidRDefault="006C4C0B" w:rsidP="00376DCB">
      <w:pPr>
        <w:jc w:val="both"/>
        <w:rPr>
          <w:lang w:val="en-US"/>
        </w:rPr>
      </w:pPr>
    </w:p>
    <w:sectPr w:rsidR="006C4C0B" w:rsidRPr="00DE10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CF8"/>
    <w:rsid w:val="00047DE6"/>
    <w:rsid w:val="001E4C39"/>
    <w:rsid w:val="00376DCB"/>
    <w:rsid w:val="006C4C0B"/>
    <w:rsid w:val="0084189A"/>
    <w:rsid w:val="00AD6CF8"/>
    <w:rsid w:val="00DE106F"/>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E55B1"/>
  <w15:chartTrackingRefBased/>
  <w15:docId w15:val="{B2FC31E4-01F9-4A71-9974-BE3D145DD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D6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D6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D6CF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D6CF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D6CF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D6CF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D6CF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D6CF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D6CF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D6CF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D6CF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D6CF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D6CF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D6CF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D6CF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D6CF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D6CF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D6CF8"/>
    <w:rPr>
      <w:rFonts w:eastAsiaTheme="majorEastAsia" w:cstheme="majorBidi"/>
      <w:color w:val="272727" w:themeColor="text1" w:themeTint="D8"/>
    </w:rPr>
  </w:style>
  <w:style w:type="paragraph" w:styleId="Titolo">
    <w:name w:val="Title"/>
    <w:basedOn w:val="Normale"/>
    <w:next w:val="Normale"/>
    <w:link w:val="TitoloCarattere"/>
    <w:uiPriority w:val="10"/>
    <w:qFormat/>
    <w:rsid w:val="00AD6C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D6CF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D6CF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D6CF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D6CF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D6CF8"/>
    <w:rPr>
      <w:i/>
      <w:iCs/>
      <w:color w:val="404040" w:themeColor="text1" w:themeTint="BF"/>
    </w:rPr>
  </w:style>
  <w:style w:type="paragraph" w:styleId="Paragrafoelenco">
    <w:name w:val="List Paragraph"/>
    <w:basedOn w:val="Normale"/>
    <w:uiPriority w:val="34"/>
    <w:qFormat/>
    <w:rsid w:val="00AD6CF8"/>
    <w:pPr>
      <w:ind w:left="720"/>
      <w:contextualSpacing/>
    </w:pPr>
  </w:style>
  <w:style w:type="character" w:styleId="Enfasiintensa">
    <w:name w:val="Intense Emphasis"/>
    <w:basedOn w:val="Carpredefinitoparagrafo"/>
    <w:uiPriority w:val="21"/>
    <w:qFormat/>
    <w:rsid w:val="00AD6CF8"/>
    <w:rPr>
      <w:i/>
      <w:iCs/>
      <w:color w:val="0F4761" w:themeColor="accent1" w:themeShade="BF"/>
    </w:rPr>
  </w:style>
  <w:style w:type="paragraph" w:styleId="Citazioneintensa">
    <w:name w:val="Intense Quote"/>
    <w:basedOn w:val="Normale"/>
    <w:next w:val="Normale"/>
    <w:link w:val="CitazioneintensaCarattere"/>
    <w:uiPriority w:val="30"/>
    <w:qFormat/>
    <w:rsid w:val="00AD6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D6CF8"/>
    <w:rPr>
      <w:i/>
      <w:iCs/>
      <w:color w:val="0F4761" w:themeColor="accent1" w:themeShade="BF"/>
    </w:rPr>
  </w:style>
  <w:style w:type="character" w:styleId="Riferimentointenso">
    <w:name w:val="Intense Reference"/>
    <w:basedOn w:val="Carpredefinitoparagrafo"/>
    <w:uiPriority w:val="32"/>
    <w:qFormat/>
    <w:rsid w:val="00AD6CF8"/>
    <w:rPr>
      <w:b/>
      <w:bCs/>
      <w:smallCaps/>
      <w:color w:val="0F4761" w:themeColor="accent1" w:themeShade="BF"/>
      <w:spacing w:val="5"/>
    </w:rPr>
  </w:style>
  <w:style w:type="character" w:styleId="Collegamentoipertestuale">
    <w:name w:val="Hyperlink"/>
    <w:basedOn w:val="Carpredefinitoparagrafo"/>
    <w:uiPriority w:val="99"/>
    <w:unhideWhenUsed/>
    <w:rsid w:val="00DE106F"/>
    <w:rPr>
      <w:color w:val="467886" w:themeColor="hyperlink"/>
      <w:u w:val="single"/>
    </w:rPr>
  </w:style>
  <w:style w:type="character" w:styleId="Menzionenonrisolta">
    <w:name w:val="Unresolved Mention"/>
    <w:basedOn w:val="Carpredefinitoparagrafo"/>
    <w:uiPriority w:val="99"/>
    <w:semiHidden/>
    <w:unhideWhenUsed/>
    <w:rsid w:val="00DE1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l-echoes.eu/"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4679d45-8346-4e23-8c84-a7304edba77f}" enabled="0" method="" siteId="{84679d45-8346-4e23-8c84-a7304edba77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3</cp:revision>
  <dcterms:created xsi:type="dcterms:W3CDTF">2026-11-04T07:09:00Z</dcterms:created>
  <dcterms:modified xsi:type="dcterms:W3CDTF">2026-11-04T07:10:00Z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b50a69bb81f859b616e61df9930ec6eadd4feaf9d3d13e71d011ff6aaeddbc9a</vt:lpwstr>
  </property>
</Properties>
</file>