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5A" w:rsidRDefault="00E14A5A" w:rsidP="00C42CAC">
      <w:pPr>
        <w:rPr>
          <w:rFonts w:ascii="Times" w:hAnsi="Times" w:cs="Tahoma"/>
          <w:b/>
        </w:rPr>
      </w:pPr>
    </w:p>
    <w:p w:rsidR="00A61E38" w:rsidRDefault="00A61E38" w:rsidP="00A61E38">
      <w:pPr>
        <w:spacing w:line="360" w:lineRule="auto"/>
        <w:jc w:val="center"/>
        <w:rPr>
          <w:rFonts w:ascii="Times" w:hAnsi="Times" w:cs="Times"/>
          <w:b/>
          <w:sz w:val="28"/>
          <w:szCs w:val="28"/>
        </w:rPr>
      </w:pPr>
      <w:r w:rsidRPr="00A61E38">
        <w:rPr>
          <w:rFonts w:ascii="Times" w:hAnsi="Times" w:cs="Times"/>
          <w:b/>
          <w:sz w:val="28"/>
          <w:szCs w:val="28"/>
        </w:rPr>
        <w:t xml:space="preserve">RELAZIONE PER IL MONITORAGGIO CONVENZIONE E </w:t>
      </w:r>
    </w:p>
    <w:p w:rsidR="00A61E38" w:rsidRPr="00A61E38" w:rsidRDefault="00A61E38" w:rsidP="00A61E38">
      <w:pPr>
        <w:spacing w:line="360" w:lineRule="auto"/>
        <w:jc w:val="center"/>
        <w:rPr>
          <w:rFonts w:ascii="Times" w:hAnsi="Times" w:cs="Times"/>
          <w:b/>
          <w:sz w:val="28"/>
          <w:szCs w:val="28"/>
        </w:rPr>
      </w:pPr>
      <w:r w:rsidRPr="00A61E38">
        <w:rPr>
          <w:rFonts w:ascii="Times" w:hAnsi="Times" w:cs="Times"/>
          <w:b/>
          <w:sz w:val="28"/>
          <w:szCs w:val="28"/>
        </w:rPr>
        <w:t>ANDAMENTO SPIN OFF</w:t>
      </w:r>
    </w:p>
    <w:p w:rsidR="00A61E38" w:rsidRDefault="00A61E38" w:rsidP="00A61E38">
      <w:pPr>
        <w:spacing w:line="360" w:lineRule="auto"/>
        <w:jc w:val="both"/>
        <w:rPr>
          <w:rFonts w:ascii="Times" w:hAnsi="Times" w:cs="Times"/>
        </w:rPr>
      </w:pPr>
    </w:p>
    <w:p w:rsidR="00A61E38" w:rsidRPr="00644B11" w:rsidRDefault="00A61E38" w:rsidP="00980D8F">
      <w:pPr>
        <w:spacing w:line="360" w:lineRule="auto"/>
        <w:jc w:val="both"/>
        <w:rPr>
          <w:rFonts w:ascii="Times" w:hAnsi="Times" w:cs="Times"/>
          <w:color w:val="2F5496"/>
        </w:rPr>
      </w:pPr>
      <w:r w:rsidRPr="00644B11">
        <w:rPr>
          <w:rFonts w:ascii="Times" w:hAnsi="Times" w:cs="Times"/>
          <w:color w:val="2F5496"/>
        </w:rPr>
        <w:t>Il/La sottoscritto/a _________________________________, in qualità di legale rappresentante dello Spin off: _________________________________ costituito con _____________________________</w:t>
      </w:r>
    </w:p>
    <w:p w:rsidR="00A61E38" w:rsidRPr="00644B11" w:rsidRDefault="00A61E38" w:rsidP="00980D8F">
      <w:pPr>
        <w:spacing w:line="360" w:lineRule="auto"/>
        <w:jc w:val="both"/>
        <w:rPr>
          <w:rFonts w:ascii="Times" w:hAnsi="Times" w:cs="Tahoma"/>
          <w:i/>
          <w:iCs/>
          <w:color w:val="2F5496"/>
        </w:rPr>
      </w:pPr>
      <w:bookmarkStart w:id="0" w:name="_Hlk95820393"/>
    </w:p>
    <w:p w:rsidR="00A61E38" w:rsidRPr="00644B11" w:rsidRDefault="00A61E38" w:rsidP="00980D8F">
      <w:pPr>
        <w:jc w:val="both"/>
        <w:rPr>
          <w:rFonts w:ascii="Times" w:hAnsi="Times" w:cs="Tahoma"/>
          <w:i/>
          <w:iCs/>
          <w:color w:val="2F5496"/>
        </w:rPr>
      </w:pPr>
      <w:r w:rsidRPr="00644B11">
        <w:rPr>
          <w:rFonts w:ascii="Times" w:hAnsi="Times" w:cs="Tahoma"/>
          <w:i/>
          <w:iCs/>
          <w:color w:val="2F5496"/>
        </w:rPr>
        <w:t>Consapevole di quanto previsto dall’art. 76 del D.P.R. 445/2000, in merito alle conseguenze penali consapevole della responsabilità e delle conseguenze civili e penali previste in casi di rilascio di dichiarazioni mendaci e/o formazione di atti falsi e/o uso degli stessi</w:t>
      </w:r>
    </w:p>
    <w:bookmarkEnd w:id="0"/>
    <w:p w:rsidR="00A61E38" w:rsidRPr="00A46427" w:rsidRDefault="00A61E38" w:rsidP="00A61E38">
      <w:pPr>
        <w:jc w:val="center"/>
        <w:rPr>
          <w:rFonts w:ascii="Times" w:hAnsi="Times" w:cs="Tahoma"/>
          <w:b/>
          <w:sz w:val="23"/>
          <w:szCs w:val="23"/>
        </w:rPr>
      </w:pPr>
    </w:p>
    <w:p w:rsidR="00A61E38" w:rsidRDefault="00A61E38" w:rsidP="00A61E38">
      <w:pPr>
        <w:jc w:val="center"/>
        <w:rPr>
          <w:rFonts w:ascii="Times" w:hAnsi="Times" w:cs="Tahoma"/>
          <w:b/>
          <w:sz w:val="23"/>
          <w:szCs w:val="23"/>
        </w:rPr>
      </w:pPr>
    </w:p>
    <w:p w:rsidR="00A61E38" w:rsidRPr="00980D8F" w:rsidRDefault="00A61E38" w:rsidP="00A61E38">
      <w:pPr>
        <w:jc w:val="center"/>
        <w:rPr>
          <w:rFonts w:ascii="Times" w:hAnsi="Times" w:cs="Tahoma"/>
          <w:b/>
        </w:rPr>
      </w:pPr>
      <w:r w:rsidRPr="00980D8F">
        <w:rPr>
          <w:rFonts w:ascii="Times" w:hAnsi="Times" w:cs="Tahoma"/>
          <w:b/>
        </w:rPr>
        <w:t>DICHIARA E TRASMETTE:</w:t>
      </w:r>
    </w:p>
    <w:p w:rsidR="00A61E38" w:rsidRPr="00980D8F" w:rsidRDefault="00A61E38" w:rsidP="00A61E38">
      <w:pPr>
        <w:jc w:val="center"/>
        <w:rPr>
          <w:rFonts w:ascii="Times" w:hAnsi="Times" w:cs="Tahoma"/>
          <w:b/>
        </w:rPr>
      </w:pPr>
    </w:p>
    <w:p w:rsidR="00A61E38" w:rsidRPr="00980D8F" w:rsidRDefault="00A61E38" w:rsidP="00A61E38">
      <w:pPr>
        <w:pStyle w:val="Paragrafoelenco"/>
        <w:numPr>
          <w:ilvl w:val="0"/>
          <w:numId w:val="12"/>
        </w:numPr>
        <w:ind w:left="714" w:hanging="357"/>
        <w:contextualSpacing/>
        <w:jc w:val="both"/>
        <w:rPr>
          <w:rFonts w:ascii="Times" w:hAnsi="Times" w:cs="Tahoma"/>
          <w:b/>
          <w:bCs/>
        </w:rPr>
      </w:pPr>
      <w:r w:rsidRPr="00980D8F">
        <w:rPr>
          <w:rFonts w:ascii="Times" w:hAnsi="Times" w:cs="Tahoma"/>
        </w:rPr>
        <w:t xml:space="preserve">ai sensi dell’art. 9 del Regolamento Spin Off </w:t>
      </w:r>
      <w:r w:rsidRPr="00980D8F">
        <w:rPr>
          <w:rFonts w:ascii="Times" w:hAnsi="Times" w:cs="Tahoma"/>
          <w:b/>
          <w:bCs/>
        </w:rPr>
        <w:t>una relazione,</w:t>
      </w:r>
      <w:r w:rsidRPr="00980D8F">
        <w:rPr>
          <w:rFonts w:ascii="Times" w:hAnsi="Times" w:cs="Tahoma"/>
        </w:rPr>
        <w:t xml:space="preserve"> </w:t>
      </w:r>
      <w:r w:rsidRPr="00980D8F">
        <w:rPr>
          <w:rFonts w:ascii="Times" w:hAnsi="Times" w:cs="Tahoma"/>
          <w:b/>
          <w:bCs/>
        </w:rPr>
        <w:t xml:space="preserve">con allegato il bilancio di esercizio dell’anno precedente, </w:t>
      </w:r>
      <w:r w:rsidRPr="00980D8F">
        <w:rPr>
          <w:rFonts w:ascii="Times" w:hAnsi="Times" w:cs="Tahoma"/>
          <w:b/>
          <w:bCs/>
          <w:u w:val="single"/>
        </w:rPr>
        <w:t>contenente:</w:t>
      </w:r>
      <w:r w:rsidRPr="00980D8F">
        <w:rPr>
          <w:rFonts w:ascii="Times" w:hAnsi="Times" w:cs="Tahoma"/>
          <w:b/>
          <w:bCs/>
        </w:rPr>
        <w:t xml:space="preserve"> </w:t>
      </w:r>
    </w:p>
    <w:p w:rsidR="00A61E38" w:rsidRPr="00980D8F" w:rsidRDefault="00A61E38" w:rsidP="00A61E38">
      <w:pPr>
        <w:pStyle w:val="Paragrafoelenco"/>
        <w:ind w:left="714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  <w:i/>
          <w:iCs/>
        </w:rPr>
        <w:t xml:space="preserve">a) dati economici, finanziari e patrimoniali sintetici; </w:t>
      </w:r>
    </w:p>
    <w:p w:rsidR="00A61E38" w:rsidRPr="00980D8F" w:rsidRDefault="00A61E38" w:rsidP="00A61E38">
      <w:pPr>
        <w:pStyle w:val="Paragrafoelenco"/>
        <w:ind w:left="714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  <w:i/>
          <w:iCs/>
        </w:rPr>
        <w:t xml:space="preserve">b) indicazione dei principali prodotti e servizi forniti sul mercato che hanno contribuito al fatturato; </w:t>
      </w:r>
    </w:p>
    <w:p w:rsidR="00A61E38" w:rsidRPr="00980D8F" w:rsidRDefault="00A61E38" w:rsidP="00A61E38">
      <w:pPr>
        <w:pStyle w:val="Paragrafoelenco"/>
        <w:ind w:left="714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  <w:i/>
          <w:iCs/>
        </w:rPr>
        <w:t xml:space="preserve">c) indicazioni sullo stato di avanzamento del Piano di sviluppo di cui al precedente art. 8, comma 2 lett. b); </w:t>
      </w:r>
    </w:p>
    <w:p w:rsidR="00A61E38" w:rsidRPr="00980D8F" w:rsidRDefault="00A61E38" w:rsidP="00A61E38">
      <w:pPr>
        <w:pStyle w:val="Paragrafoelenco"/>
        <w:ind w:left="714"/>
        <w:contextualSpacing/>
        <w:jc w:val="both"/>
        <w:rPr>
          <w:rFonts w:ascii="Times" w:hAnsi="Times" w:cs="Tahoma"/>
        </w:rPr>
      </w:pPr>
      <w:r w:rsidRPr="00980D8F">
        <w:rPr>
          <w:rFonts w:ascii="Times" w:hAnsi="Times" w:cs="Tahoma"/>
          <w:i/>
          <w:iCs/>
        </w:rPr>
        <w:t>d) indicazione del personale dell’Ateneo, dipendente e non, che è socio dello spin off o svolge attività a favore della società, con indicazione dell’attività svolta, dell’impegno temporale e del relativo compenso</w:t>
      </w:r>
      <w:r w:rsidRPr="00980D8F">
        <w:rPr>
          <w:rFonts w:ascii="Times" w:hAnsi="Times" w:cs="Tahoma"/>
        </w:rPr>
        <w:t>;</w:t>
      </w:r>
    </w:p>
    <w:p w:rsidR="00A61E38" w:rsidRPr="00980D8F" w:rsidRDefault="00A61E38" w:rsidP="00A61E38">
      <w:pPr>
        <w:pStyle w:val="Paragrafoelenco"/>
        <w:ind w:left="714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  <w:i/>
          <w:iCs/>
        </w:rPr>
        <w:t>e) indicazione dei rapporti di collaborazione in essere con strutture dell’Università;</w:t>
      </w:r>
    </w:p>
    <w:p w:rsidR="00A61E38" w:rsidRPr="00980D8F" w:rsidRDefault="00A61E38" w:rsidP="00A61E38">
      <w:pPr>
        <w:pStyle w:val="Paragrafoelenco"/>
        <w:ind w:left="714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  <w:i/>
          <w:iCs/>
        </w:rPr>
        <w:t>f) eventuali problematiche e criticità riscontrate;</w:t>
      </w:r>
    </w:p>
    <w:p w:rsidR="00A61E38" w:rsidRPr="00980D8F" w:rsidRDefault="00A61E38" w:rsidP="00A61E38">
      <w:pPr>
        <w:pStyle w:val="Paragrafoelenco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  <w:i/>
          <w:iCs/>
        </w:rPr>
        <w:t>g) prospettive di sviluppo e di business per i successivi tre anni.</w:t>
      </w:r>
    </w:p>
    <w:p w:rsidR="00A61E38" w:rsidRPr="00980D8F" w:rsidRDefault="00A61E38" w:rsidP="00A61E38">
      <w:pPr>
        <w:pStyle w:val="Paragrafoelenco"/>
        <w:numPr>
          <w:ilvl w:val="0"/>
          <w:numId w:val="12"/>
        </w:numPr>
        <w:ind w:firstLine="0"/>
        <w:contextualSpacing/>
        <w:jc w:val="both"/>
        <w:rPr>
          <w:rFonts w:ascii="Times" w:hAnsi="Times" w:cs="Tahoma"/>
        </w:rPr>
      </w:pPr>
      <w:r w:rsidRPr="00980D8F">
        <w:rPr>
          <w:rFonts w:ascii="Times" w:hAnsi="Times" w:cs="Tahoma"/>
        </w:rPr>
        <w:t xml:space="preserve">che non sono intercorse modifiche dello Statuto societario, del capitale sociale o della compagine sociale e che eventuali successive </w:t>
      </w:r>
      <w:r w:rsidRPr="00980D8F">
        <w:rPr>
          <w:rFonts w:ascii="Times" w:hAnsi="Times" w:cs="Tahoma"/>
          <w:b/>
          <w:bCs/>
        </w:rPr>
        <w:t>modifiche verranno comunicate entro 30 gg. dalla loro approvazione</w:t>
      </w:r>
      <w:r w:rsidRPr="00980D8F">
        <w:rPr>
          <w:rFonts w:ascii="Times" w:hAnsi="Times" w:cs="Tahoma"/>
        </w:rPr>
        <w:t>;</w:t>
      </w:r>
    </w:p>
    <w:p w:rsidR="00A61E38" w:rsidRPr="00980D8F" w:rsidRDefault="00A61E38" w:rsidP="00A61E38">
      <w:pPr>
        <w:pStyle w:val="Paragrafoelenco"/>
        <w:numPr>
          <w:ilvl w:val="0"/>
          <w:numId w:val="12"/>
        </w:numPr>
        <w:ind w:firstLine="0"/>
        <w:contextualSpacing/>
        <w:jc w:val="both"/>
        <w:rPr>
          <w:rFonts w:ascii="Times" w:hAnsi="Times" w:cs="Tahoma"/>
        </w:rPr>
      </w:pPr>
      <w:r w:rsidRPr="00980D8F">
        <w:rPr>
          <w:rFonts w:ascii="Times" w:hAnsi="Times" w:cs="Tahoma"/>
        </w:rPr>
        <w:t xml:space="preserve">di aver provveduto autonomamente e con oneri in capo alla scrivente Spin Off, a dotarsi di opportuna polizza assicurativa antinfortunistica del personale al fine di poter accedere ai laboratori del Dipartimento attualmente valida ed efficace </w:t>
      </w:r>
      <w:bookmarkStart w:id="1" w:name="_Hlk95820076"/>
      <w:r w:rsidRPr="00980D8F">
        <w:rPr>
          <w:rFonts w:ascii="Times" w:hAnsi="Times" w:cs="Tahoma"/>
        </w:rPr>
        <w:t>[indicare gli estremi della Polizza _______________</w:t>
      </w:r>
      <w:r w:rsidR="00980D8F">
        <w:rPr>
          <w:rFonts w:ascii="Times" w:hAnsi="Times" w:cs="Tahoma"/>
        </w:rPr>
        <w:t xml:space="preserve"> </w:t>
      </w:r>
      <w:r w:rsidRPr="00980D8F">
        <w:rPr>
          <w:rFonts w:ascii="Times" w:hAnsi="Times" w:cs="Tahoma"/>
        </w:rPr>
        <w:t xml:space="preserve">attualmente valida ed efficace]; </w:t>
      </w:r>
    </w:p>
    <w:bookmarkEnd w:id="1"/>
    <w:p w:rsidR="00A61E38" w:rsidRPr="00980D8F" w:rsidRDefault="00A61E38" w:rsidP="00A61E38">
      <w:pPr>
        <w:pStyle w:val="Paragrafoelenco"/>
        <w:numPr>
          <w:ilvl w:val="0"/>
          <w:numId w:val="12"/>
        </w:numPr>
        <w:ind w:firstLine="0"/>
        <w:contextualSpacing/>
        <w:jc w:val="both"/>
        <w:rPr>
          <w:rFonts w:ascii="Times" w:hAnsi="Times" w:cs="Tahoma"/>
        </w:rPr>
      </w:pPr>
      <w:r w:rsidRPr="00980D8F">
        <w:rPr>
          <w:rFonts w:ascii="Times" w:hAnsi="Times" w:cs="Tahoma"/>
        </w:rPr>
        <w:t>di aver provveduto all’assicurazione per la responsabilità civile per danni a persone e/o a cose, e verso terzi, ivi incluso il personale universitario ed i beni mobili ed immobili dell’Ateneo [indicare gli estremi della Polizza _______________</w:t>
      </w:r>
      <w:r w:rsidR="00980D8F">
        <w:rPr>
          <w:rFonts w:ascii="Times" w:hAnsi="Times" w:cs="Tahoma"/>
        </w:rPr>
        <w:t xml:space="preserve"> </w:t>
      </w:r>
      <w:r w:rsidRPr="00980D8F">
        <w:rPr>
          <w:rFonts w:ascii="Times" w:hAnsi="Times" w:cs="Tahoma"/>
        </w:rPr>
        <w:t>attualmente valida ed efficace];</w:t>
      </w:r>
    </w:p>
    <w:p w:rsidR="00A61E38" w:rsidRPr="00980D8F" w:rsidRDefault="00A61E38" w:rsidP="00A61E38">
      <w:pPr>
        <w:pStyle w:val="Paragrafoelenco"/>
        <w:numPr>
          <w:ilvl w:val="0"/>
          <w:numId w:val="12"/>
        </w:numPr>
        <w:ind w:firstLine="0"/>
        <w:contextualSpacing/>
        <w:jc w:val="both"/>
        <w:rPr>
          <w:rFonts w:ascii="Times" w:hAnsi="Times" w:cs="Tahoma"/>
          <w:i/>
          <w:iCs/>
        </w:rPr>
      </w:pPr>
      <w:r w:rsidRPr="00980D8F">
        <w:rPr>
          <w:rFonts w:ascii="Times" w:hAnsi="Times" w:cs="Tahoma"/>
        </w:rPr>
        <w:t xml:space="preserve">di essere informato che, ai sensi e per gli effetti di cui al D.Lgs. 196/2003 e al Regolamento UE 2016/679, i dati personali raccolti sono acquisiti al fine della prevenzione di eventuali conflitti di interesse e per l’esecuzione della Convenzione Spin Off e pertanto </w:t>
      </w:r>
      <w:r w:rsidRPr="00980D8F">
        <w:rPr>
          <w:rFonts w:ascii="Times" w:hAnsi="Times" w:cs="Tahoma"/>
        </w:rPr>
        <w:lastRenderedPageBreak/>
        <w:t>verranno trattati, anche con strumenti informatici, esclusivamente nell'ambito del procedimento per il quale la presente dichiarazione viene resa, ovvero per il perseguimento di finalità di pubblico interesse.</w:t>
      </w:r>
    </w:p>
    <w:p w:rsidR="00980D8F" w:rsidRDefault="00980D8F" w:rsidP="00A61E38">
      <w:pPr>
        <w:jc w:val="both"/>
        <w:rPr>
          <w:rFonts w:ascii="Times" w:hAnsi="Times" w:cs="Tahoma"/>
        </w:rPr>
      </w:pPr>
    </w:p>
    <w:p w:rsidR="00980D8F" w:rsidRDefault="00980D8F" w:rsidP="00A61E38">
      <w:pPr>
        <w:jc w:val="both"/>
        <w:rPr>
          <w:rFonts w:ascii="Times" w:hAnsi="Times" w:cs="Tahoma"/>
        </w:rPr>
      </w:pPr>
    </w:p>
    <w:p w:rsidR="00A61E38" w:rsidRPr="00980D8F" w:rsidRDefault="00980D8F" w:rsidP="00A61E38">
      <w:pPr>
        <w:jc w:val="both"/>
        <w:rPr>
          <w:rFonts w:ascii="Times" w:hAnsi="Times" w:cs="Tahoma"/>
        </w:rPr>
      </w:pPr>
      <w:r w:rsidRPr="00980D8F">
        <w:rPr>
          <w:rFonts w:ascii="Times" w:hAnsi="Times" w:cs="Tahoma"/>
          <w:b/>
          <w:bCs/>
        </w:rPr>
        <w:t>SI ALLEGANO</w:t>
      </w:r>
      <w:r w:rsidRPr="00980D8F">
        <w:rPr>
          <w:rFonts w:ascii="Times" w:hAnsi="Times" w:cs="Tahoma"/>
        </w:rPr>
        <w:t>:</w:t>
      </w:r>
    </w:p>
    <w:p w:rsidR="00A61E38" w:rsidRPr="00980D8F" w:rsidRDefault="00A61E38" w:rsidP="00A61E38">
      <w:pPr>
        <w:jc w:val="both"/>
        <w:rPr>
          <w:rFonts w:ascii="Times" w:hAnsi="Times" w:cs="Tahoma"/>
        </w:rPr>
      </w:pPr>
    </w:p>
    <w:p w:rsidR="00A61E38" w:rsidRPr="00980D8F" w:rsidRDefault="00A61E38" w:rsidP="00A61E38">
      <w:pPr>
        <w:numPr>
          <w:ilvl w:val="0"/>
          <w:numId w:val="14"/>
        </w:numPr>
        <w:jc w:val="both"/>
        <w:rPr>
          <w:rFonts w:ascii="Times" w:hAnsi="Times" w:cs="Tahoma"/>
        </w:rPr>
      </w:pPr>
      <w:r w:rsidRPr="00980D8F">
        <w:rPr>
          <w:rFonts w:ascii="Times" w:hAnsi="Times" w:cs="Tahoma"/>
          <w:b/>
          <w:bCs/>
        </w:rPr>
        <w:t xml:space="preserve">le dichiarazioni e le autorizzazioni prescritte dall’art. 3, commi 2, 3, 4, 5 e 6 del Regolamento Spin Off, </w:t>
      </w:r>
      <w:r w:rsidRPr="00980D8F">
        <w:rPr>
          <w:rFonts w:ascii="Times" w:hAnsi="Times" w:cs="Tahoma"/>
        </w:rPr>
        <w:t>per il personale docente, ricercatore, i dottorandi, gli assegnisti e il personale amministrativo, soci o non soci dello Spin Off o comunque coinvolti nell’attività dello Spin Off;</w:t>
      </w:r>
    </w:p>
    <w:p w:rsidR="00A61E38" w:rsidRPr="00980D8F" w:rsidRDefault="00A61E38" w:rsidP="00A61E38">
      <w:pPr>
        <w:numPr>
          <w:ilvl w:val="0"/>
          <w:numId w:val="14"/>
        </w:numPr>
        <w:jc w:val="both"/>
        <w:rPr>
          <w:rFonts w:ascii="Times" w:hAnsi="Times" w:cs="Tahoma"/>
          <w:b/>
          <w:bCs/>
        </w:rPr>
      </w:pPr>
      <w:r w:rsidRPr="00980D8F">
        <w:rPr>
          <w:rFonts w:ascii="Times" w:hAnsi="Times" w:cs="Tahoma"/>
          <w:b/>
          <w:bCs/>
        </w:rPr>
        <w:t>le comunicazioni al Rettore</w:t>
      </w:r>
      <w:r w:rsidRPr="00980D8F">
        <w:rPr>
          <w:rFonts w:ascii="Times" w:hAnsi="Times" w:cs="Tahoma"/>
        </w:rPr>
        <w:t xml:space="preserve"> del personale dell’Università che partecipa a qualsiasi titolo allo spin off, inerenti i dividendi, i compensi e le remunerazioni e i benefici a qualunque titolo ottenuti dalla società nel corso dell’esercizio sociale, </w:t>
      </w:r>
      <w:r w:rsidRPr="00980D8F">
        <w:rPr>
          <w:rFonts w:ascii="Times" w:hAnsi="Times" w:cs="Tahoma"/>
          <w:b/>
          <w:bCs/>
        </w:rPr>
        <w:t>ai sensi dell’art. 9, comma 5 del Regolamento Spin Off;</w:t>
      </w:r>
    </w:p>
    <w:p w:rsidR="00A61E38" w:rsidRPr="00980D8F" w:rsidRDefault="00A61E38" w:rsidP="00A61E38">
      <w:pPr>
        <w:pStyle w:val="Paragrafoelenco"/>
        <w:numPr>
          <w:ilvl w:val="0"/>
          <w:numId w:val="14"/>
        </w:numPr>
        <w:contextualSpacing/>
        <w:jc w:val="both"/>
        <w:rPr>
          <w:rFonts w:ascii="Times" w:hAnsi="Times" w:cs="Tahoma"/>
        </w:rPr>
      </w:pPr>
      <w:r w:rsidRPr="00980D8F">
        <w:rPr>
          <w:rFonts w:ascii="Times" w:hAnsi="Times" w:cs="Tahoma"/>
          <w:b/>
          <w:bCs/>
        </w:rPr>
        <w:t>le dichiarazioni del personale docente o ricercatore</w:t>
      </w:r>
      <w:r w:rsidRPr="00980D8F">
        <w:rPr>
          <w:rFonts w:ascii="Times" w:hAnsi="Times" w:cs="Tahoma"/>
        </w:rPr>
        <w:t xml:space="preserve"> che partecipa alle società aventi caratteristiche di</w:t>
      </w:r>
      <w:r w:rsidRPr="00980D8F">
        <w:rPr>
          <w:rFonts w:ascii="Times" w:hAnsi="Times" w:cs="Tahoma"/>
          <w:i/>
        </w:rPr>
        <w:t xml:space="preserve"> spin off</w:t>
      </w:r>
      <w:r w:rsidRPr="00980D8F">
        <w:rPr>
          <w:rFonts w:ascii="Times" w:hAnsi="Times" w:cs="Tahoma"/>
        </w:rPr>
        <w:t xml:space="preserve"> o start up universitario </w:t>
      </w:r>
      <w:r w:rsidRPr="00980D8F">
        <w:rPr>
          <w:rFonts w:ascii="Times" w:hAnsi="Times" w:cs="Tahoma"/>
          <w:b/>
          <w:bCs/>
        </w:rPr>
        <w:t>ai sensi dell’art. 3, comma 8 del Regolamento Spin Off</w:t>
      </w:r>
      <w:r w:rsidRPr="00980D8F">
        <w:rPr>
          <w:rFonts w:ascii="Times" w:hAnsi="Times" w:cs="Tahoma"/>
        </w:rPr>
        <w:t>, di non svolgere attività in concorrenza con quella dell'Ateneo</w:t>
      </w:r>
      <w:r w:rsidRPr="00980D8F">
        <w:rPr>
          <w:rFonts w:ascii="Calibri" w:hAnsi="Calibri"/>
          <w:b/>
          <w:bCs/>
          <w:i/>
        </w:rPr>
        <w:t xml:space="preserve"> </w:t>
      </w:r>
      <w:r w:rsidRPr="00980D8F">
        <w:rPr>
          <w:rFonts w:ascii="Times" w:hAnsi="Times" w:cs="Tahoma"/>
          <w:bCs/>
        </w:rPr>
        <w:t>ivi compresa l’attività di ricerca, formazione, consulenza e prestazioni a tariffario per conto terzi.</w:t>
      </w:r>
    </w:p>
    <w:p w:rsidR="00A61E38" w:rsidRPr="00980D8F" w:rsidRDefault="00A61E38" w:rsidP="00A61E38">
      <w:pPr>
        <w:ind w:left="720"/>
        <w:jc w:val="both"/>
        <w:rPr>
          <w:rFonts w:ascii="Times" w:hAnsi="Times" w:cs="Tahoma"/>
        </w:rPr>
      </w:pPr>
    </w:p>
    <w:p w:rsidR="00A61E38" w:rsidRPr="00980D8F" w:rsidRDefault="00A61E38" w:rsidP="00A61E38">
      <w:pPr>
        <w:jc w:val="both"/>
        <w:rPr>
          <w:rFonts w:ascii="Times" w:hAnsi="Times" w:cs="Tahoma"/>
        </w:rPr>
      </w:pPr>
    </w:p>
    <w:p w:rsidR="00A61E38" w:rsidRPr="00980D8F" w:rsidRDefault="00A61E38" w:rsidP="00A61E38">
      <w:pPr>
        <w:jc w:val="both"/>
        <w:rPr>
          <w:rFonts w:ascii="Times" w:hAnsi="Times" w:cs="Tahoma"/>
        </w:rPr>
      </w:pPr>
    </w:p>
    <w:p w:rsidR="00A61E38" w:rsidRPr="00980D8F" w:rsidRDefault="00A61E38" w:rsidP="00A61E38">
      <w:pPr>
        <w:jc w:val="both"/>
        <w:rPr>
          <w:rFonts w:ascii="Times" w:hAnsi="Times" w:cs="Tahoma"/>
        </w:rPr>
      </w:pPr>
    </w:p>
    <w:p w:rsidR="00A61E38" w:rsidRPr="00980D8F" w:rsidRDefault="00A61E38" w:rsidP="00A61E38">
      <w:pPr>
        <w:jc w:val="both"/>
        <w:rPr>
          <w:rFonts w:ascii="Times" w:hAnsi="Times" w:cs="Tahoma"/>
        </w:rPr>
      </w:pPr>
    </w:p>
    <w:p w:rsidR="00A61E38" w:rsidRPr="00980D8F" w:rsidRDefault="00A61E38" w:rsidP="00A61E38">
      <w:pPr>
        <w:jc w:val="both"/>
        <w:rPr>
          <w:rFonts w:ascii="Times" w:hAnsi="Times" w:cs="Tahoma"/>
        </w:rPr>
      </w:pPr>
      <w:r w:rsidRPr="00980D8F">
        <w:rPr>
          <w:rFonts w:ascii="Times" w:hAnsi="Times" w:cs="Tahoma"/>
        </w:rPr>
        <w:t>Messina lì___________________</w:t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  <w:t>Il Dichiarante</w:t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  <w:r w:rsidRPr="00980D8F">
        <w:rPr>
          <w:rFonts w:ascii="Times" w:hAnsi="Times" w:cs="Tahoma"/>
        </w:rPr>
        <w:tab/>
      </w:r>
    </w:p>
    <w:p w:rsidR="00A61E38" w:rsidRPr="00D84455" w:rsidRDefault="00A61E38" w:rsidP="00A61E38">
      <w:pPr>
        <w:jc w:val="both"/>
        <w:rPr>
          <w:rFonts w:ascii="Times" w:hAnsi="Times"/>
          <w:sz w:val="23"/>
          <w:szCs w:val="23"/>
        </w:rPr>
      </w:pPr>
    </w:p>
    <w:p w:rsidR="00626A98" w:rsidRPr="00760D28" w:rsidRDefault="00626A98" w:rsidP="00A61E38">
      <w:pPr>
        <w:jc w:val="center"/>
        <w:rPr>
          <w:rFonts w:ascii="Arial" w:hAnsi="Arial" w:cs="Arial"/>
          <w:bCs/>
          <w:color w:val="808080"/>
        </w:rPr>
      </w:pPr>
    </w:p>
    <w:sectPr w:rsidR="00626A98" w:rsidRPr="00760D28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B11" w:rsidRDefault="00644B11">
      <w:r>
        <w:separator/>
      </w:r>
    </w:p>
  </w:endnote>
  <w:endnote w:type="continuationSeparator" w:id="1">
    <w:p w:rsidR="00644B11" w:rsidRDefault="0064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C6" w:rsidRDefault="00A335C6">
    <w:pPr>
      <w:pStyle w:val="Pidipagina"/>
      <w:jc w:val="right"/>
    </w:pPr>
    <w:fldSimple w:instr="PAGE   \* MERGEFORMAT">
      <w:r w:rsidR="00742050">
        <w:rPr>
          <w:noProof/>
        </w:rPr>
        <w:t>2</w:t>
      </w:r>
    </w:fldSimple>
  </w:p>
  <w:p w:rsidR="006C592A" w:rsidRDefault="00A335C6" w:rsidP="00A335C6">
    <w:pPr>
      <w:tabs>
        <w:tab w:val="left" w:pos="4077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.25pt;height:32.85pt">
          <v:imagedata r:id="rId1" o:title="loco new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B11" w:rsidRDefault="00644B11">
      <w:r>
        <w:separator/>
      </w:r>
    </w:p>
  </w:footnote>
  <w:footnote w:type="continuationSeparator" w:id="1">
    <w:p w:rsidR="00644B11" w:rsidRDefault="00644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A" w:rsidRDefault="00EA1BFD" w:rsidP="00EA1BFD">
    <w:pPr>
      <w:pStyle w:val="Intestazion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8.15pt;height:75.9pt">
          <v:imagedata r:id="rId1" o:title="RESTYLING 2020 LOGO UNIME_1_COLOR"/>
        </v:shape>
      </w:pict>
    </w:r>
  </w:p>
  <w:p w:rsidR="00626A98" w:rsidRDefault="00626A9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F7BCF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C5F56"/>
    <w:multiLevelType w:val="hybridMultilevel"/>
    <w:tmpl w:val="1296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B3984"/>
    <w:multiLevelType w:val="hybridMultilevel"/>
    <w:tmpl w:val="1B4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140916"/>
    <w:multiLevelType w:val="hybridMultilevel"/>
    <w:tmpl w:val="14EC0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3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13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stylePaneFormatFilter w:val="3F01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C5D"/>
    <w:rsid w:val="0002071B"/>
    <w:rsid w:val="00074419"/>
    <w:rsid w:val="000C3D3A"/>
    <w:rsid w:val="000E669D"/>
    <w:rsid w:val="00134BDF"/>
    <w:rsid w:val="00165E3A"/>
    <w:rsid w:val="001C59D0"/>
    <w:rsid w:val="001E2730"/>
    <w:rsid w:val="00221468"/>
    <w:rsid w:val="00245142"/>
    <w:rsid w:val="00257416"/>
    <w:rsid w:val="002B0EDD"/>
    <w:rsid w:val="002B246E"/>
    <w:rsid w:val="002C1862"/>
    <w:rsid w:val="002E3BDF"/>
    <w:rsid w:val="00311E57"/>
    <w:rsid w:val="00347BB0"/>
    <w:rsid w:val="00374C5D"/>
    <w:rsid w:val="003B5F9E"/>
    <w:rsid w:val="003C3028"/>
    <w:rsid w:val="003D2AB9"/>
    <w:rsid w:val="00407950"/>
    <w:rsid w:val="0041711C"/>
    <w:rsid w:val="00451A64"/>
    <w:rsid w:val="004E6622"/>
    <w:rsid w:val="004F3CD5"/>
    <w:rsid w:val="00501F40"/>
    <w:rsid w:val="005F41FA"/>
    <w:rsid w:val="00617EB2"/>
    <w:rsid w:val="00626A98"/>
    <w:rsid w:val="0063251F"/>
    <w:rsid w:val="00644B11"/>
    <w:rsid w:val="00645731"/>
    <w:rsid w:val="00654117"/>
    <w:rsid w:val="006730C7"/>
    <w:rsid w:val="00691910"/>
    <w:rsid w:val="006A26E0"/>
    <w:rsid w:val="006C592A"/>
    <w:rsid w:val="006D318E"/>
    <w:rsid w:val="006E2CD0"/>
    <w:rsid w:val="00742050"/>
    <w:rsid w:val="00760D28"/>
    <w:rsid w:val="00765FD3"/>
    <w:rsid w:val="0079175C"/>
    <w:rsid w:val="00792873"/>
    <w:rsid w:val="007B1970"/>
    <w:rsid w:val="007E1F93"/>
    <w:rsid w:val="00816759"/>
    <w:rsid w:val="00820EDA"/>
    <w:rsid w:val="008A67AD"/>
    <w:rsid w:val="008B2D26"/>
    <w:rsid w:val="008B62F6"/>
    <w:rsid w:val="008C1744"/>
    <w:rsid w:val="00912E72"/>
    <w:rsid w:val="00980D8F"/>
    <w:rsid w:val="009B2D80"/>
    <w:rsid w:val="009D2A5E"/>
    <w:rsid w:val="009D4DD9"/>
    <w:rsid w:val="009E00F5"/>
    <w:rsid w:val="00A102BC"/>
    <w:rsid w:val="00A335C6"/>
    <w:rsid w:val="00A52B7A"/>
    <w:rsid w:val="00A613A7"/>
    <w:rsid w:val="00A61767"/>
    <w:rsid w:val="00A61E38"/>
    <w:rsid w:val="00AA50B4"/>
    <w:rsid w:val="00AB40E4"/>
    <w:rsid w:val="00AC141B"/>
    <w:rsid w:val="00AD564C"/>
    <w:rsid w:val="00AD5F70"/>
    <w:rsid w:val="00AE22CE"/>
    <w:rsid w:val="00AE55B1"/>
    <w:rsid w:val="00B13B55"/>
    <w:rsid w:val="00B32058"/>
    <w:rsid w:val="00B67293"/>
    <w:rsid w:val="00BA760B"/>
    <w:rsid w:val="00C12F27"/>
    <w:rsid w:val="00C31089"/>
    <w:rsid w:val="00C42CAC"/>
    <w:rsid w:val="00C578F3"/>
    <w:rsid w:val="00CB2D99"/>
    <w:rsid w:val="00CC6ABD"/>
    <w:rsid w:val="00D0127A"/>
    <w:rsid w:val="00D14766"/>
    <w:rsid w:val="00D23548"/>
    <w:rsid w:val="00D4363D"/>
    <w:rsid w:val="00DD2AC1"/>
    <w:rsid w:val="00E14A5A"/>
    <w:rsid w:val="00E3313C"/>
    <w:rsid w:val="00E82417"/>
    <w:rsid w:val="00E96558"/>
    <w:rsid w:val="00EA1BFD"/>
    <w:rsid w:val="00EF4605"/>
    <w:rsid w:val="00F1697B"/>
    <w:rsid w:val="00F23201"/>
    <w:rsid w:val="00F23F81"/>
    <w:rsid w:val="00F31393"/>
    <w:rsid w:val="00F46053"/>
    <w:rsid w:val="00F548CB"/>
    <w:rsid w:val="00F81D41"/>
    <w:rsid w:val="00FA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deltesto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styleId="Corpodeltesto">
    <w:name w:val="Body Text"/>
    <w:basedOn w:val="Normale"/>
    <w:link w:val="CorpodeltestoCarattere"/>
    <w:rsid w:val="007E1F93"/>
    <w:pPr>
      <w:spacing w:after="120"/>
    </w:pPr>
  </w:style>
  <w:style w:type="character" w:customStyle="1" w:styleId="CorpodeltestoCarattere">
    <w:name w:val="Corpo del testo Carattere"/>
    <w:link w:val="Corpodeltesto"/>
    <w:rsid w:val="007E1F93"/>
    <w:rPr>
      <w:sz w:val="24"/>
      <w:szCs w:val="24"/>
      <w:lang w:val="it-IT" w:eastAsia="it-IT"/>
    </w:rPr>
  </w:style>
  <w:style w:type="paragraph" w:customStyle="1" w:styleId="Default">
    <w:name w:val="Default"/>
    <w:rsid w:val="00617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61E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enzo</cp:lastModifiedBy>
  <cp:revision>2</cp:revision>
  <cp:lastPrinted>2014-06-26T09:33:00Z</cp:lastPrinted>
  <dcterms:created xsi:type="dcterms:W3CDTF">2024-12-03T12:33:00Z</dcterms:created>
  <dcterms:modified xsi:type="dcterms:W3CDTF">2024-12-03T12:33:00Z</dcterms:modified>
</cp:coreProperties>
</file>